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93" w:rsidRPr="00426993" w:rsidRDefault="00426993" w:rsidP="00426993">
      <w:pPr>
        <w:jc w:val="left"/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</w:pPr>
      <w:r w:rsidRPr="00426993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>Classification</w:t>
      </w:r>
    </w:p>
    <w:p w:rsidR="00426993" w:rsidRDefault="00426993" w:rsidP="00426993">
      <w:pPr>
        <w:jc w:val="left"/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</w:pPr>
      <w:r w:rsidRPr="00426993">
        <w:rPr>
          <w:rFonts w:eastAsia="Times New Roman"/>
          <w:color w:val="000000"/>
          <w:sz w:val="55"/>
          <w:szCs w:val="55"/>
          <w:lang w:eastAsia="en-AU"/>
        </w:rPr>
        <w:t>Decisions made about the categorisation of objects</w:t>
      </w:r>
      <w:r w:rsidRPr="00426993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 xml:space="preserve"> </w:t>
      </w:r>
    </w:p>
    <w:p w:rsidR="00426993" w:rsidRPr="00426993" w:rsidRDefault="00426993" w:rsidP="00426993">
      <w:pPr>
        <w:jc w:val="left"/>
        <w:rPr>
          <w:rFonts w:eastAsia="Times New Roman"/>
          <w:b/>
          <w:bCs/>
          <w:i/>
          <w:iCs/>
          <w:color w:val="000000"/>
          <w:sz w:val="72"/>
          <w:szCs w:val="72"/>
          <w:lang w:eastAsia="en-AU"/>
        </w:rPr>
      </w:pPr>
    </w:p>
    <w:p w:rsidR="00426993" w:rsidRPr="00426993" w:rsidRDefault="00426993" w:rsidP="00426993">
      <w:pPr>
        <w:jc w:val="left"/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</w:pPr>
      <w:r w:rsidRPr="00426993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>Data Process</w:t>
      </w:r>
    </w:p>
    <w:p w:rsidR="00426993" w:rsidRPr="00426993" w:rsidRDefault="00426993" w:rsidP="00426993">
      <w:pPr>
        <w:jc w:val="left"/>
        <w:rPr>
          <w:rFonts w:eastAsia="Times New Roman"/>
          <w:lang w:eastAsia="en-AU"/>
        </w:rPr>
      </w:pPr>
      <w:r w:rsidRPr="00426993">
        <w:rPr>
          <w:rFonts w:eastAsia="Times New Roman"/>
          <w:color w:val="000000"/>
          <w:sz w:val="55"/>
          <w:szCs w:val="55"/>
          <w:lang w:eastAsia="en-AU"/>
        </w:rPr>
        <w:t>There is a four-step process involved with data investigation and interpretation.  These steps include:</w:t>
      </w:r>
    </w:p>
    <w:p w:rsidR="00426993" w:rsidRPr="00426993" w:rsidRDefault="00426993" w:rsidP="00426993">
      <w:pPr>
        <w:pStyle w:val="ListParagraph"/>
        <w:ind w:left="1140"/>
        <w:jc w:val="left"/>
        <w:rPr>
          <w:rFonts w:eastAsia="Times New Roman"/>
          <w:lang w:eastAsia="en-AU"/>
        </w:rPr>
      </w:pPr>
    </w:p>
    <w:p w:rsidR="00426993" w:rsidRPr="00426993" w:rsidRDefault="00426993" w:rsidP="00426993">
      <w:pPr>
        <w:pStyle w:val="ListParagraph"/>
        <w:numPr>
          <w:ilvl w:val="0"/>
          <w:numId w:val="1"/>
        </w:numPr>
        <w:jc w:val="left"/>
        <w:rPr>
          <w:rFonts w:eastAsia="Times New Roman"/>
          <w:lang w:eastAsia="en-AU"/>
        </w:rPr>
      </w:pPr>
      <w:r>
        <w:rPr>
          <w:rFonts w:eastAsia="Times New Roman"/>
          <w:color w:val="000000"/>
          <w:sz w:val="55"/>
          <w:szCs w:val="55"/>
          <w:u w:val="single"/>
          <w:lang w:eastAsia="en-AU"/>
        </w:rPr>
        <w:t xml:space="preserve"> </w:t>
      </w:r>
      <w:r w:rsidRPr="00426993">
        <w:rPr>
          <w:rFonts w:eastAsia="Times New Roman"/>
          <w:color w:val="000000"/>
          <w:sz w:val="55"/>
          <w:szCs w:val="55"/>
          <w:u w:val="single"/>
          <w:lang w:eastAsia="en-AU"/>
        </w:rPr>
        <w:t>Question Posing</w:t>
      </w:r>
      <w:r w:rsidRPr="00426993">
        <w:rPr>
          <w:rFonts w:eastAsia="Times New Roman"/>
          <w:color w:val="000000"/>
          <w:sz w:val="55"/>
          <w:szCs w:val="55"/>
          <w:lang w:eastAsia="en-AU"/>
        </w:rPr>
        <w:t xml:space="preserve"> – posing inquiry questions to motivate an investigation.</w:t>
      </w:r>
    </w:p>
    <w:p w:rsidR="00426993" w:rsidRDefault="00426993" w:rsidP="00426993">
      <w:pPr>
        <w:pStyle w:val="ListParagraph"/>
        <w:ind w:left="1140"/>
        <w:jc w:val="left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426993" w:rsidRPr="00426993" w:rsidRDefault="00426993" w:rsidP="00426993">
      <w:pPr>
        <w:pStyle w:val="ListParagraph"/>
        <w:ind w:left="1140"/>
        <w:jc w:val="left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426993" w:rsidRPr="00426993" w:rsidRDefault="00426993" w:rsidP="00426993">
      <w:pPr>
        <w:pStyle w:val="ListParagraph"/>
        <w:numPr>
          <w:ilvl w:val="0"/>
          <w:numId w:val="1"/>
        </w:numPr>
        <w:jc w:val="left"/>
        <w:rPr>
          <w:rFonts w:eastAsia="Times New Roman"/>
          <w:lang w:eastAsia="en-AU"/>
        </w:rPr>
      </w:pPr>
      <w:r>
        <w:rPr>
          <w:rFonts w:eastAsia="Times New Roman"/>
          <w:color w:val="000000"/>
          <w:sz w:val="55"/>
          <w:szCs w:val="55"/>
          <w:u w:val="single"/>
          <w:lang w:eastAsia="en-AU"/>
        </w:rPr>
        <w:t xml:space="preserve"> </w:t>
      </w:r>
      <w:r w:rsidRPr="00426993">
        <w:rPr>
          <w:rFonts w:eastAsia="Times New Roman"/>
          <w:color w:val="000000"/>
          <w:sz w:val="55"/>
          <w:szCs w:val="55"/>
          <w:u w:val="single"/>
          <w:lang w:eastAsia="en-AU"/>
        </w:rPr>
        <w:t>Data Collection</w:t>
      </w:r>
      <w:r w:rsidRPr="00426993">
        <w:rPr>
          <w:rFonts w:eastAsia="Times New Roman"/>
          <w:color w:val="000000"/>
          <w:sz w:val="55"/>
          <w:szCs w:val="55"/>
          <w:lang w:eastAsia="en-AU"/>
        </w:rPr>
        <w:t xml:space="preserve"> – consideration must be given to data collecting techniques such as variables and issues prior to designing and employing a plan to effectively gather the data.  Varieties of data collection tools may include: surveys, questionnaires, interviews, experiments, tables, tallies.</w:t>
      </w:r>
    </w:p>
    <w:p w:rsidR="00426993" w:rsidRDefault="00426993">
      <w:pPr>
        <w:rPr>
          <w:rFonts w:eastAsia="Times New Roman"/>
          <w:b/>
          <w:bCs/>
          <w:i/>
          <w:iCs/>
          <w:color w:val="000000"/>
          <w:lang w:eastAsia="en-AU"/>
        </w:rPr>
      </w:pPr>
      <w:r>
        <w:rPr>
          <w:rFonts w:eastAsia="Times New Roman"/>
          <w:b/>
          <w:bCs/>
          <w:i/>
          <w:iCs/>
          <w:color w:val="000000"/>
          <w:lang w:eastAsia="en-AU"/>
        </w:rPr>
        <w:br w:type="page"/>
      </w:r>
    </w:p>
    <w:p w:rsidR="00426993" w:rsidRPr="00426993" w:rsidRDefault="00426993" w:rsidP="00426993">
      <w:pPr>
        <w:jc w:val="left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426993" w:rsidRPr="00426993" w:rsidRDefault="00426993" w:rsidP="00426993">
      <w:pPr>
        <w:pStyle w:val="ListParagraph"/>
        <w:numPr>
          <w:ilvl w:val="0"/>
          <w:numId w:val="1"/>
        </w:numPr>
        <w:jc w:val="left"/>
        <w:rPr>
          <w:rFonts w:eastAsia="Times New Roman"/>
          <w:lang w:eastAsia="en-AU"/>
        </w:rPr>
      </w:pPr>
      <w:r>
        <w:rPr>
          <w:rFonts w:eastAsia="Times New Roman"/>
          <w:color w:val="000000"/>
          <w:sz w:val="55"/>
          <w:szCs w:val="55"/>
          <w:u w:val="single"/>
          <w:lang w:eastAsia="en-AU"/>
        </w:rPr>
        <w:t xml:space="preserve"> </w:t>
      </w:r>
      <w:r w:rsidRPr="00426993">
        <w:rPr>
          <w:rFonts w:eastAsia="Times New Roman"/>
          <w:color w:val="000000"/>
          <w:sz w:val="55"/>
          <w:szCs w:val="55"/>
          <w:u w:val="single"/>
          <w:lang w:eastAsia="en-AU"/>
        </w:rPr>
        <w:t xml:space="preserve">Data Representation </w:t>
      </w:r>
      <w:r w:rsidRPr="00426993">
        <w:rPr>
          <w:rFonts w:eastAsia="Times New Roman"/>
          <w:color w:val="000000"/>
          <w:sz w:val="55"/>
          <w:szCs w:val="55"/>
          <w:lang w:eastAsia="en-AU"/>
        </w:rPr>
        <w:t xml:space="preserve">– the choice of data representation can impact on how well the data are understood and should be directly related to the investigation.  Varieties of data representation may include: tables, pictographs, bar/column graph, compound bar graph, side by side column graph, histogram, line graph, pie graph, stem and leaf plot, dot plot, scatter plot, box plot, tree diagrams, Venn diagrams, </w:t>
      </w:r>
      <w:proofErr w:type="spellStart"/>
      <w:r w:rsidRPr="00426993">
        <w:rPr>
          <w:rFonts w:eastAsia="Times New Roman"/>
          <w:color w:val="000000"/>
          <w:sz w:val="55"/>
          <w:szCs w:val="55"/>
          <w:lang w:eastAsia="en-AU"/>
        </w:rPr>
        <w:t>Karnaugh</w:t>
      </w:r>
      <w:proofErr w:type="spellEnd"/>
      <w:r w:rsidRPr="00426993">
        <w:rPr>
          <w:rFonts w:eastAsia="Times New Roman"/>
          <w:color w:val="000000"/>
          <w:sz w:val="55"/>
          <w:szCs w:val="55"/>
          <w:lang w:eastAsia="en-AU"/>
        </w:rPr>
        <w:t xml:space="preserve"> maps/Carroll diagrams/two-way tables</w:t>
      </w:r>
      <w:r>
        <w:rPr>
          <w:rFonts w:eastAsia="Times New Roman"/>
          <w:color w:val="000000"/>
          <w:sz w:val="55"/>
          <w:szCs w:val="55"/>
          <w:lang w:eastAsia="en-AU"/>
        </w:rPr>
        <w:t>.</w:t>
      </w:r>
    </w:p>
    <w:p w:rsidR="00426993" w:rsidRDefault="00426993" w:rsidP="00426993">
      <w:pPr>
        <w:ind w:left="720"/>
        <w:jc w:val="left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426993" w:rsidRDefault="00426993" w:rsidP="00426993">
      <w:pPr>
        <w:ind w:left="720"/>
        <w:jc w:val="left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B51961" w:rsidRPr="00426993" w:rsidRDefault="00426993" w:rsidP="00426993">
      <w:pPr>
        <w:pStyle w:val="ListParagraph"/>
        <w:numPr>
          <w:ilvl w:val="0"/>
          <w:numId w:val="1"/>
        </w:numPr>
        <w:jc w:val="left"/>
        <w:rPr>
          <w:rFonts w:eastAsia="Times New Roman"/>
          <w:color w:val="000000"/>
          <w:sz w:val="55"/>
          <w:szCs w:val="55"/>
          <w:u w:val="single"/>
          <w:lang w:eastAsia="en-AU"/>
        </w:rPr>
      </w:pPr>
      <w:r>
        <w:rPr>
          <w:rFonts w:eastAsia="Times New Roman"/>
          <w:color w:val="000000"/>
          <w:sz w:val="55"/>
          <w:szCs w:val="55"/>
          <w:u w:val="single"/>
          <w:lang w:eastAsia="en-AU"/>
        </w:rPr>
        <w:t xml:space="preserve"> </w:t>
      </w:r>
      <w:r w:rsidRPr="00426993">
        <w:rPr>
          <w:rFonts w:eastAsia="Times New Roman"/>
          <w:color w:val="000000"/>
          <w:sz w:val="55"/>
          <w:szCs w:val="55"/>
          <w:u w:val="single"/>
          <w:lang w:eastAsia="en-AU"/>
        </w:rPr>
        <w:t>Data Interpretation / Analysis</w:t>
      </w:r>
      <w:r w:rsidRPr="00426993">
        <w:rPr>
          <w:rFonts w:eastAsia="Times New Roman"/>
          <w:color w:val="000000"/>
          <w:sz w:val="55"/>
          <w:szCs w:val="55"/>
          <w:lang w:eastAsia="en-AU"/>
        </w:rPr>
        <w:t xml:space="preserve"> – the interpretation of data allows us to make sense of the information presented.  The interpretation is related to the original investigation and the findings are communicated and inferences are developed.</w:t>
      </w:r>
      <w:r>
        <w:rPr>
          <w:rFonts w:eastAsia="Times New Roman"/>
          <w:color w:val="000000"/>
          <w:sz w:val="55"/>
          <w:szCs w:val="55"/>
          <w:lang w:eastAsia="en-AU"/>
        </w:rPr>
        <w:t xml:space="preserve"> </w:t>
      </w:r>
      <w:r w:rsidR="00B51961" w:rsidRPr="00426993">
        <w:rPr>
          <w:rFonts w:eastAsia="Times New Roman"/>
          <w:color w:val="000000"/>
          <w:sz w:val="55"/>
          <w:szCs w:val="55"/>
          <w:lang w:eastAsia="en-AU"/>
        </w:rPr>
        <w:t>Shapes and objects have distinguishable characteristics and are named because of their properties</w:t>
      </w:r>
      <w:r>
        <w:rPr>
          <w:rFonts w:eastAsia="Times New Roman"/>
          <w:color w:val="000000"/>
          <w:sz w:val="55"/>
          <w:szCs w:val="55"/>
          <w:lang w:eastAsia="en-AU"/>
        </w:rPr>
        <w:t>.</w:t>
      </w:r>
    </w:p>
    <w:p w:rsidR="00426993" w:rsidRDefault="00426993" w:rsidP="00B51961">
      <w:pPr>
        <w:ind w:left="720"/>
        <w:jc w:val="left"/>
        <w:rPr>
          <w:rFonts w:eastAsia="Times New Roman"/>
          <w:color w:val="000000"/>
          <w:sz w:val="55"/>
          <w:szCs w:val="55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B51961" w:rsidTr="00B51961">
        <w:trPr>
          <w:trHeight w:val="10087"/>
        </w:trPr>
        <w:tc>
          <w:tcPr>
            <w:tcW w:w="15616" w:type="dxa"/>
            <w:tcBorders>
              <w:top w:val="thinThickMediumGap" w:sz="48" w:space="0" w:color="auto"/>
              <w:left w:val="thinThickMediumGap" w:sz="48" w:space="0" w:color="auto"/>
              <w:bottom w:val="thickThinMediumGap" w:sz="48" w:space="0" w:color="auto"/>
              <w:right w:val="thickThinMediumGap" w:sz="48" w:space="0" w:color="auto"/>
            </w:tcBorders>
          </w:tcPr>
          <w:p w:rsidR="00B51961" w:rsidRPr="00B51961" w:rsidRDefault="00FE463F" w:rsidP="00B5196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lastRenderedPageBreak/>
              <w:t>I can...</w:t>
            </w: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</w:tc>
      </w:tr>
    </w:tbl>
    <w:p w:rsidR="00FE463F" w:rsidRPr="00426993" w:rsidRDefault="00FE463F" w:rsidP="00FE463F">
      <w:pPr>
        <w:ind w:left="720"/>
        <w:jc w:val="left"/>
        <w:rPr>
          <w:rFonts w:eastAsia="Times New Roman"/>
          <w:color w:val="000000"/>
          <w:sz w:val="4"/>
          <w:szCs w:val="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0"/>
      </w:tblGrid>
      <w:tr w:rsidR="00FE463F" w:rsidTr="00447BFE">
        <w:trPr>
          <w:trHeight w:val="10087"/>
        </w:trPr>
        <w:tc>
          <w:tcPr>
            <w:tcW w:w="15616" w:type="dxa"/>
            <w:tcBorders>
              <w:top w:val="thinThickMediumGap" w:sz="48" w:space="0" w:color="auto"/>
              <w:left w:val="thinThickMediumGap" w:sz="48" w:space="0" w:color="auto"/>
              <w:bottom w:val="thickThinMediumGap" w:sz="48" w:space="0" w:color="auto"/>
              <w:right w:val="thickThinMediumGap" w:sz="48" w:space="0" w:color="auto"/>
            </w:tcBorders>
          </w:tcPr>
          <w:p w:rsidR="00FE463F" w:rsidRPr="00B51961" w:rsidRDefault="00FE463F" w:rsidP="00447BFE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lastRenderedPageBreak/>
              <w:t>Learning Intentions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t>:</w:t>
            </w:r>
          </w:p>
          <w:p w:rsidR="00FE463F" w:rsidRDefault="00FE463F" w:rsidP="00447BFE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FE463F" w:rsidRDefault="009C18F0" w:rsidP="009C18F0">
            <w:pPr>
              <w:ind w:left="720" w:right="787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48D75B" wp14:editId="3BBFE218">
                  <wp:extent cx="9214952" cy="4928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50" cy="493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63F" w:rsidRPr="00426993" w:rsidRDefault="00FE463F" w:rsidP="00426993">
      <w:pPr>
        <w:jc w:val="left"/>
        <w:rPr>
          <w:rFonts w:eastAsia="Times New Roman"/>
          <w:color w:val="000000"/>
          <w:sz w:val="4"/>
          <w:szCs w:val="4"/>
          <w:lang w:eastAsia="en-AU"/>
        </w:rPr>
      </w:pPr>
      <w:bookmarkStart w:id="0" w:name="_GoBack"/>
      <w:bookmarkEnd w:id="0"/>
    </w:p>
    <w:sectPr w:rsidR="00FE463F" w:rsidRPr="00426993" w:rsidSect="00B51961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C62"/>
    <w:multiLevelType w:val="hybridMultilevel"/>
    <w:tmpl w:val="F7947A0A"/>
    <w:lvl w:ilvl="0" w:tplc="A42CBEBE">
      <w:start w:val="1"/>
      <w:numFmt w:val="decimal"/>
      <w:lvlText w:val="%1."/>
      <w:lvlJc w:val="left"/>
      <w:pPr>
        <w:ind w:left="1140" w:hanging="420"/>
      </w:pPr>
      <w:rPr>
        <w:rFonts w:hint="default"/>
        <w:color w:val="000000"/>
        <w:sz w:val="55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1"/>
    <w:rsid w:val="00096781"/>
    <w:rsid w:val="000A4E71"/>
    <w:rsid w:val="0010345F"/>
    <w:rsid w:val="00174DD3"/>
    <w:rsid w:val="002607C5"/>
    <w:rsid w:val="002D1098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26993"/>
    <w:rsid w:val="004437DA"/>
    <w:rsid w:val="00462067"/>
    <w:rsid w:val="004B478F"/>
    <w:rsid w:val="0076207D"/>
    <w:rsid w:val="007E237D"/>
    <w:rsid w:val="007E78AF"/>
    <w:rsid w:val="009C18F0"/>
    <w:rsid w:val="00A9711C"/>
    <w:rsid w:val="00AE7DD3"/>
    <w:rsid w:val="00B51961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6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6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210</Words>
  <Characters>1197</Characters>
  <Application>Microsoft Office Word</Application>
  <DocSecurity>0</DocSecurity>
  <Lines>9</Lines>
  <Paragraphs>2</Paragraphs>
  <ScaleCrop>false</ScaleCrop>
  <Company>St Margarets Primary School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2016-07-19T06:08:00Z</cp:lastPrinted>
  <dcterms:created xsi:type="dcterms:W3CDTF">2019-07-28T10:25:00Z</dcterms:created>
  <dcterms:modified xsi:type="dcterms:W3CDTF">2019-07-28T10:25:00Z</dcterms:modified>
</cp:coreProperties>
</file>